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B3D4" w14:textId="461AFBBA" w:rsidR="00C22481" w:rsidRDefault="00C22481" w:rsidP="00C22481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31B2">
        <w:rPr>
          <w:rFonts w:ascii="Times New Roman" w:hAnsi="Times New Roman" w:cs="Times New Roman"/>
          <w:bCs/>
          <w:sz w:val="24"/>
          <w:szCs w:val="24"/>
        </w:rPr>
        <w:t>Чистов</w:t>
      </w:r>
      <w:r w:rsidR="001B3D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1B2">
        <w:rPr>
          <w:rFonts w:ascii="Times New Roman" w:hAnsi="Times New Roman" w:cs="Times New Roman"/>
          <w:bCs/>
          <w:sz w:val="24"/>
          <w:szCs w:val="24"/>
        </w:rPr>
        <w:t>Д.В.</w:t>
      </w:r>
    </w:p>
    <w:p w14:paraId="2BD486B0" w14:textId="42D2F279" w:rsidR="00C22481" w:rsidRDefault="00C22481" w:rsidP="00C22481">
      <w:pPr>
        <w:pStyle w:val="2"/>
        <w:spacing w:before="0" w:after="240" w:line="240" w:lineRule="auto"/>
        <w:jc w:val="center"/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</w:pP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ФГОБУ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«Финансовый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университет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Правительстве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Российской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Федерации»,</w:t>
      </w:r>
      <w:r w:rsidR="00E766A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г.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83854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Москва</w:t>
      </w:r>
    </w:p>
    <w:p w14:paraId="28298ADA" w14:textId="09FED6B5" w:rsidR="00B350C2" w:rsidRDefault="00B350C2" w:rsidP="00C22481">
      <w:pPr>
        <w:spacing w:after="0" w:line="240" w:lineRule="auto"/>
        <w:ind w:firstLine="357"/>
        <w:contextualSpacing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Гарант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цифрового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доверия: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новая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миссия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бухгалтера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в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цифровую</w:t>
      </w:r>
      <w:r w:rsidR="001B3DF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эпоху</w:t>
      </w:r>
    </w:p>
    <w:p w14:paraId="61AD45CA" w14:textId="77777777" w:rsidR="00B350C2" w:rsidRDefault="00B350C2" w:rsidP="00C22481">
      <w:pPr>
        <w:spacing w:after="0" w:line="240" w:lineRule="auto"/>
        <w:ind w:firstLine="357"/>
        <w:contextualSpacing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14:paraId="185679DD" w14:textId="1B26E666" w:rsidR="00E766A4" w:rsidRDefault="00C22481" w:rsidP="00C22481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Chistov</w:t>
      </w:r>
      <w:proofErr w:type="spellEnd"/>
      <w:r w:rsidR="007E0A51" w:rsidRPr="007A21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0A51">
        <w:rPr>
          <w:rFonts w:ascii="Times New Roman" w:hAnsi="Times New Roman" w:cs="Times New Roman"/>
          <w:bCs/>
          <w:sz w:val="24"/>
          <w:szCs w:val="24"/>
          <w:lang w:val="en-US"/>
        </w:rPr>
        <w:t>D.V.</w:t>
      </w:r>
    </w:p>
    <w:p w14:paraId="1136624F" w14:textId="14DE53F2" w:rsidR="00C22481" w:rsidRPr="00583D19" w:rsidRDefault="00C22481" w:rsidP="00C22481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Financial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University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under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Government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Russian</w:t>
      </w:r>
      <w:r w:rsidR="001B3D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Federation</w:t>
      </w:r>
      <w:r w:rsidR="007E0A51" w:rsidRPr="007A21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583D19">
        <w:rPr>
          <w:rFonts w:ascii="Times New Roman" w:hAnsi="Times New Roman" w:cs="Times New Roman"/>
          <w:bCs/>
          <w:sz w:val="24"/>
          <w:szCs w:val="24"/>
          <w:lang w:val="en-US"/>
        </w:rPr>
        <w:t>Moscow</w:t>
      </w:r>
    </w:p>
    <w:p w14:paraId="5AB24EF4" w14:textId="753165B2" w:rsidR="00B350C2" w:rsidRDefault="00B350C2" w:rsidP="00C22481">
      <w:pPr>
        <w:pStyle w:val="2"/>
        <w:suppressAutoHyphens/>
        <w:spacing w:before="240" w:after="120" w:line="240" w:lineRule="auto"/>
        <w:ind w:firstLine="539"/>
        <w:jc w:val="center"/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</w:pP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Guarantor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of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d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igital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t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rust: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The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a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ccountant's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n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ew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m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ission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in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the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d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igital</w:t>
      </w:r>
      <w:r w:rsidR="001B3DFE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 xml:space="preserve"> </w:t>
      </w:r>
      <w:r w:rsidR="0072782B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a</w:t>
      </w:r>
      <w:r w:rsidRPr="00B350C2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ge</w:t>
      </w:r>
    </w:p>
    <w:p w14:paraId="632CD9FD" w14:textId="5DB3EDB0" w:rsidR="00C22481" w:rsidRPr="008C271F" w:rsidRDefault="00C22481" w:rsidP="00C22481">
      <w:pPr>
        <w:pStyle w:val="2"/>
        <w:suppressAutoHyphens/>
        <w:spacing w:before="240" w:after="120" w:line="240" w:lineRule="auto"/>
        <w:ind w:firstLine="539"/>
        <w:jc w:val="center"/>
        <w:rPr>
          <w:rFonts w:ascii="Arial" w:eastAsia="Times New Roman" w:hAnsi="Arial" w:cs="Arial"/>
          <w:b/>
          <w:iCs/>
          <w:color w:val="auto"/>
          <w:sz w:val="24"/>
          <w:szCs w:val="24"/>
          <w:lang w:eastAsia="ru-RU"/>
        </w:rPr>
      </w:pPr>
      <w:r w:rsidRPr="00AB01A2">
        <w:rPr>
          <w:rFonts w:ascii="Arial" w:eastAsia="Times New Roman" w:hAnsi="Arial" w:cs="Arial"/>
          <w:b/>
          <w:iCs/>
          <w:color w:val="auto"/>
          <w:sz w:val="24"/>
          <w:szCs w:val="24"/>
          <w:lang w:eastAsia="ru-RU"/>
        </w:rPr>
        <w:t>Аннотация</w:t>
      </w:r>
    </w:p>
    <w:p w14:paraId="2966FDC3" w14:textId="31B847FC" w:rsidR="00BA669C" w:rsidRDefault="008C271F" w:rsidP="007A2144">
      <w:pPr>
        <w:pStyle w:val="2"/>
        <w:suppressAutoHyphens/>
        <w:spacing w:before="0" w:line="240" w:lineRule="auto"/>
        <w:ind w:firstLine="539"/>
        <w:jc w:val="both"/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Ц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ифров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трансформаци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я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неумолимо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ведущая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потоковой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обработке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больших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ставит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под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вопрос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традиционное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роли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бухгалтера.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противовес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прогнозам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</w:t>
      </w:r>
      <w:r w:rsidR="001A1943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исчезновении</w:t>
      </w:r>
      <w:r w:rsidR="001A1943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этого специалиста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статье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обосновывается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тезис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фундаментальном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возрастании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стратегической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значимости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1A1943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бухгалтера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через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возвращение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её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архетипическому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ядру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функции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безоговорочного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гаранта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доверия.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048AA1DB" w14:textId="571DBE41" w:rsidR="00BA669C" w:rsidRDefault="008C271F" w:rsidP="007A2144">
      <w:pPr>
        <w:pStyle w:val="2"/>
        <w:suppressAutoHyphens/>
        <w:spacing w:before="0" w:line="240" w:lineRule="auto"/>
        <w:ind w:firstLine="539"/>
        <w:jc w:val="both"/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</w:pP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Эта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миссия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приобретает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новое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содержание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мире,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где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данные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генерируются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автоматически,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алгоритмы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способны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создавать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убедительные,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лишённые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смысла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корреляции,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1A1943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и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критическим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гуманитарным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противовесом.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Анализируя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контуры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будущего,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автор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приходит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выводу,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эволюционирует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архитектора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цифрового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специалиста,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обеспечивает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неизменность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байтов,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достоверность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той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картины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реальности,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которую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эти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байты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формируют.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6F2AA2AB" w14:textId="0FF89A5B" w:rsidR="008C271F" w:rsidRPr="008C271F" w:rsidRDefault="008C271F" w:rsidP="007A2144">
      <w:pPr>
        <w:pStyle w:val="2"/>
        <w:suppressAutoHyphens/>
        <w:spacing w:before="0" w:line="240" w:lineRule="auto"/>
        <w:ind w:firstLine="539"/>
        <w:jc w:val="both"/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статье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предлагаются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практически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ориентир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ы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образовательных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программ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сегодняшнего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дня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призванных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воспитать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нового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профессионала,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сочетающего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глубинное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экономических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смыслов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компетенциями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области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управления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данными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цифровыми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процессами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востребованны</w:t>
      </w:r>
      <w:r w:rsidR="001A1943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ми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новом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цифровом</w:t>
      </w:r>
      <w:r w:rsidR="001B3DFE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мире</w:t>
      </w:r>
      <w:r w:rsidRPr="008C271F">
        <w:rPr>
          <w:rFonts w:ascii="TimesNewRoman" w:eastAsia="Times New Roman" w:hAnsi="TimesNewRoman" w:cs="Times New Roman"/>
          <w:color w:val="auto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676ACA3F" w14:textId="540B92DD" w:rsidR="00C22481" w:rsidRPr="001B3DFE" w:rsidRDefault="00C22481" w:rsidP="008C271F">
      <w:pPr>
        <w:pStyle w:val="2"/>
        <w:suppressAutoHyphens/>
        <w:spacing w:before="240" w:after="120" w:line="240" w:lineRule="auto"/>
        <w:ind w:firstLine="539"/>
        <w:jc w:val="center"/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</w:pPr>
      <w:r w:rsidRPr="00583D19">
        <w:rPr>
          <w:rFonts w:ascii="Arial" w:eastAsia="Times New Roman" w:hAnsi="Arial" w:cs="Arial"/>
          <w:b/>
          <w:iCs/>
          <w:color w:val="auto"/>
          <w:sz w:val="24"/>
          <w:szCs w:val="24"/>
          <w:lang w:val="en-US" w:eastAsia="ru-RU"/>
        </w:rPr>
        <w:t>Abstract</w:t>
      </w:r>
    </w:p>
    <w:p w14:paraId="556DCF3E" w14:textId="425FBEC3" w:rsidR="00BA669C" w:rsidRPr="00BA669C" w:rsidRDefault="00BA669C" w:rsidP="007A2144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</w:pP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Digital transformation, inexorably leading to stream processing</w:t>
      </w:r>
      <w:r w:rsidR="005E193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of big data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, challenges the traditional understanding of the accountant's role. Contrary to predictions of the</w:t>
      </w:r>
      <w:r w:rsidR="00F6548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profession’s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demise, this article argues for a fundamental increase in </w:t>
      </w:r>
      <w:r w:rsidR="00F6548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its</w:t>
      </w:r>
      <w:r w:rsidR="00F65484"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strategic importance through a return to its archetypal core</w:t>
      </w:r>
      <w:r w:rsidR="001A1943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—</w:t>
      </w:r>
      <w:r w:rsidR="001A1943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the function of an unconditional guarantor of trust.</w:t>
      </w:r>
    </w:p>
    <w:p w14:paraId="542BDE11" w14:textId="43CD5C91" w:rsidR="00BA669C" w:rsidRPr="00BA669C" w:rsidRDefault="00BA669C" w:rsidP="007A2144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</w:pP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This mission takes on new meaning in a world where data is generated automatically and algorithms can create convincing but meaningless correlations; </w:t>
      </w:r>
      <w:r w:rsidR="00F6548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in this context, 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the accountant becomes a critical humanitarian counterweight. Analyzing the future</w:t>
      </w:r>
      <w:r w:rsidR="00F6548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trends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, the author concludes that the accountant </w:t>
      </w:r>
      <w:r w:rsidR="00F6548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profession 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is evolving into an architect of digital trust—a specialist who ensures not the immutability of </w:t>
      </w:r>
      <w:r w:rsidR="00F6548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data </w:t>
      </w: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bytes, but the authenticity of the picture of economic reality that these bytes form.</w:t>
      </w:r>
    </w:p>
    <w:p w14:paraId="12F0762F" w14:textId="050C7FF4" w:rsidR="000F11DC" w:rsidRDefault="00BA669C" w:rsidP="007A2144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</w:pPr>
      <w:r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The article offers practical guidelines for today's educational programs designed to cultivate a new professional who combines a deep understanding of economic meanings with competencies in data management and digital processes, in demand in the new digital world.</w:t>
      </w:r>
    </w:p>
    <w:p w14:paraId="4B9560C0" w14:textId="77777777" w:rsidR="000F11DC" w:rsidRDefault="000F11DC" w:rsidP="007A2144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</w:pPr>
    </w:p>
    <w:p w14:paraId="0531BF77" w14:textId="24B2FF9D" w:rsidR="00C22481" w:rsidRPr="007A2144" w:rsidRDefault="00C22481" w:rsidP="00BA669C">
      <w:pPr>
        <w:spacing w:after="20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F20D41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Ключевые</w:t>
      </w:r>
      <w:r w:rsidR="001B3DFE" w:rsidRPr="007A2144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F20D41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слова</w:t>
      </w:r>
      <w:r w:rsidRPr="007A2144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: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ой,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трансформация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архитектор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потоков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ый,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отчётность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ий,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смыслы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профессиональны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й,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компетенции</w:t>
      </w:r>
      <w:r w:rsidR="00B9477B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экономика</w:t>
      </w:r>
    </w:p>
    <w:p w14:paraId="608AEA35" w14:textId="0204FEDC" w:rsidR="00C22481" w:rsidRPr="001B3DFE" w:rsidRDefault="00C22481" w:rsidP="00C22481">
      <w:pPr>
        <w:spacing w:after="20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</w:pPr>
      <w:r w:rsidRPr="00583D19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val="en-US" w:eastAsia="ru-RU"/>
        </w:rPr>
        <w:t>Keywords</w:t>
      </w:r>
      <w:r w:rsidRP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val="en-US" w:eastAsia="ru-RU"/>
        </w:rPr>
        <w:t>:</w:t>
      </w:r>
      <w:r w:rsidR="001B3DFE"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digital transformation, accountant, guarantor of trust, data architect, streaming reporting, economic meanings, professional competencies, digital economy</w:t>
      </w:r>
    </w:p>
    <w:p w14:paraId="4C47D303" w14:textId="77777777" w:rsidR="00C22481" w:rsidRPr="001B3DFE" w:rsidRDefault="00C22481" w:rsidP="00C22481">
      <w:pPr>
        <w:rPr>
          <w:lang w:val="en-US"/>
        </w:rPr>
      </w:pPr>
    </w:p>
    <w:p w14:paraId="7A76F92C" w14:textId="77777777" w:rsidR="00C22481" w:rsidRPr="00596901" w:rsidRDefault="00C22481" w:rsidP="0059690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596901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lastRenderedPageBreak/>
        <w:t>Введение</w:t>
      </w:r>
    </w:p>
    <w:p w14:paraId="74780305" w14:textId="6D8B4D82" w:rsidR="00DF5696" w:rsidRDefault="00596901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трансформация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перестала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абстрактным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трендом,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превратившись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операционную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реальность,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переписывает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существующие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правила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игры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разных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сферах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412641C6" w14:textId="71B2A589" w:rsidR="00DF5696" w:rsidRDefault="00596901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учёт,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долгое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остававшийся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оплотом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консервативных,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верифицированных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подходов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фиксации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хозяйственных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фактов,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сегодня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оказывается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острие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изменений.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Перспективы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внедрения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распределённых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реестров,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интернета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вещей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IoT</w:t>
      </w:r>
      <w:proofErr w:type="spellEnd"/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)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искусственного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интеллекта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порождают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утопические,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антиутопические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сценарии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её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полно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исчезновения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превращения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придаток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аналитических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алгоритмов</w:t>
      </w:r>
      <w:r w:rsid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[1</w:t>
      </w:r>
      <w:r w:rsid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2</w:t>
      </w:r>
      <w:r w:rsid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3]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2C275F56" w14:textId="5107709B" w:rsidR="00DF5696" w:rsidRDefault="00596901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исходим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того,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переворот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отменяет,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напротив,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катализирует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возводит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уровень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фундаментальную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социальную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миссию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информации.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Однако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объектом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инструментом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уже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бумажный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отчёт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подписью,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сложная,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динамичная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экосистема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следов.</w:t>
      </w:r>
    </w:p>
    <w:p w14:paraId="4801264E" w14:textId="0D2D5C92" w:rsidR="00596901" w:rsidRDefault="00596901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Актуальность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исследования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обусловлена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нарастающим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разрывом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между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скоростью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изменений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адаптацией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профессионального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образования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стандартов.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«гаранта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ключом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только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устойчивости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всей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экосистемы,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рискующей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погрузиться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убедительных,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содержательно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пустых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«симулякров»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данных.</w:t>
      </w:r>
    </w:p>
    <w:p w14:paraId="5B8B733D" w14:textId="77777777" w:rsidR="00BA5C4C" w:rsidRDefault="00BA5C4C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534C0992" w14:textId="18EC4803" w:rsidR="00596901" w:rsidRPr="00BA5C4C" w:rsidRDefault="00BA5C4C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Дискуссия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о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будущем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бухгалтера</w:t>
      </w:r>
    </w:p>
    <w:p w14:paraId="20D5C16D" w14:textId="017616A3" w:rsidR="00596901" w:rsidRDefault="00DF5696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Часто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спорах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высказывается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мнение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умирает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начисто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исчезнет.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противовес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высказываются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точки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зрения</w:t>
      </w:r>
      <w:r w:rsid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утверждается,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современные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технологии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включая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ИИ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освободят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рутинной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работы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высвобождая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1A1943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аналитических задач,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превратится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скорее,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аналитика.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2C91F202" w14:textId="625EF349" w:rsidR="006D00C9" w:rsidRDefault="00DF5696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возник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закон</w:t>
      </w:r>
      <w:r w:rsidR="001A1943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омерный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вопрос</w:t>
      </w:r>
      <w:r w:rsidR="001A1943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же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тогда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аналитиками?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Куда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сферы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переместится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59690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область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деятельности</w:t>
      </w:r>
      <w:r w:rsid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?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4FC15F4D" w14:textId="572288D9" w:rsidR="000A79BF" w:rsidRDefault="006D00C9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наш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взгляд,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подмене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аналитиками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кроется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терминологическая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смысловая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ошибка.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Следует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лучше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разобраться</w:t>
      </w:r>
      <w:r w:rsidR="001A1943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происходит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каковы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перспективы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трансформации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</w:t>
      </w:r>
      <w:r w:rsidR="001A1943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 М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ожно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формулировать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вопрос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иначе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суть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трансформации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бухгалтерского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целом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?</w:t>
      </w:r>
    </w:p>
    <w:p w14:paraId="3FB4C4E5" w14:textId="62E8C492" w:rsidR="009A23E4" w:rsidRDefault="00912EEF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своей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статье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удем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исходить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следующего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:</w:t>
      </w:r>
    </w:p>
    <w:p w14:paraId="3622BA73" w14:textId="5FE5F0FB" w:rsidR="009A23E4" w:rsidRPr="007A2144" w:rsidRDefault="009A23E4" w:rsidP="007A21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сбора,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регистрации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обобщения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фактах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хозяйственной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жизни.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Без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надежного,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точного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своевременного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качественных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анализа.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пытаться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построить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прогноз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погоды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без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сбора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обобщения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метеостанций.</w:t>
      </w:r>
    </w:p>
    <w:p w14:paraId="72BCC138" w14:textId="03372F16" w:rsidR="006D00C9" w:rsidRPr="007A2144" w:rsidRDefault="009A23E4" w:rsidP="007A21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Анализ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надстройка.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интерпретация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выявление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тенденций,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причинно-следственных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связей,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построение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моделей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прогнозов.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Анализ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отвечает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вопросы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Почему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произошло?</w:t>
      </w:r>
      <w:r w:rsidR="000F11DC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будет,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если...?</w:t>
      </w:r>
      <w:r w:rsidR="000F11DC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улучшить?</w:t>
      </w:r>
      <w:r w:rsidR="000F11DC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09E71028" w14:textId="7EB74377" w:rsidR="006D00C9" w:rsidRDefault="006D00C9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Изначальная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цель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информации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войная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запись,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инвентаризация,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документооборот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призваны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решить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проблему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асимметрии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создать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доверительную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торговли,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кредитования,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управления.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был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достоверности.</w:t>
      </w:r>
    </w:p>
    <w:p w14:paraId="74F8160F" w14:textId="24EC15FA" w:rsidR="006D00C9" w:rsidRDefault="006D00C9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Проблема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информационное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изобилие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информационный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шум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Сегодня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слишком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много.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поступают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непрерывными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потоками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CRM,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ERP,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банков,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логистических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IoT</w:t>
      </w:r>
      <w:proofErr w:type="spellEnd"/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-датчиков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lastRenderedPageBreak/>
        <w:t>систем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видеонаблюдения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Возникает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парадокс: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больше,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меньше.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отличить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релевантный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сигнал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шума?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уверенным,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автоматически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импортированная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транзакция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достоверна</w:t>
      </w:r>
      <w:r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?</w:t>
      </w:r>
    </w:p>
    <w:p w14:paraId="341E34AF" w14:textId="6561D223" w:rsidR="006D00C9" w:rsidRDefault="00897617" w:rsidP="006D00C9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аньше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оверие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обеспечивалось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через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контроль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процесса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сходимость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баланса,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правильность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проводки,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наличие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документа,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подписи)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аковы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6D00C9"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нструменты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="006D00C9"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D00C9"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D00C9"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D00C9"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D00C9" w:rsidRPr="006D00C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?</w:t>
      </w:r>
    </w:p>
    <w:p w14:paraId="4AF16281" w14:textId="77777777" w:rsidR="00BA5C4C" w:rsidRDefault="00BA5C4C" w:rsidP="006D00C9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56C0DF0A" w14:textId="7E32C9B9" w:rsidR="00BA5C4C" w:rsidRPr="00BA5C4C" w:rsidRDefault="00BA5C4C" w:rsidP="006D00C9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Инструменты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эпохи</w:t>
      </w:r>
    </w:p>
    <w:p w14:paraId="0C204C8B" w14:textId="74C77AAE" w:rsidR="006C7681" w:rsidRPr="006D00C9" w:rsidRDefault="006C7681" w:rsidP="006D00C9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настоящее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имеется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целый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арсенал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средств.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Среди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выделим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следующие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:</w:t>
      </w:r>
    </w:p>
    <w:p w14:paraId="05D7E1D6" w14:textId="3CA6F529" w:rsidR="006D00C9" w:rsidRPr="007A2144" w:rsidRDefault="006D00C9" w:rsidP="007A21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proofErr w:type="spellStart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Data</w:t>
      </w:r>
      <w:proofErr w:type="spellEnd"/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Governance</w:t>
      </w:r>
      <w:proofErr w:type="spellEnd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-фреймворки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истемы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качеством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жизненным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циклом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данных.</w:t>
      </w:r>
    </w:p>
    <w:p w14:paraId="45FF946D" w14:textId="6C17F9A9" w:rsidR="006D00C9" w:rsidRPr="007A2144" w:rsidRDefault="006D00C9" w:rsidP="007A21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аудит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епрерывный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мониторинг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контрольных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точек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конвейерах.</w:t>
      </w:r>
    </w:p>
    <w:p w14:paraId="474E278A" w14:textId="6ED1CB71" w:rsidR="00F302AE" w:rsidRPr="007A2144" w:rsidRDefault="006D00C9" w:rsidP="007A21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proofErr w:type="spellStart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Блокчейн</w:t>
      </w:r>
      <w:proofErr w:type="spellEnd"/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смарт-контракты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верификации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неизменности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происхождения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критических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транзакций.</w:t>
      </w:r>
    </w:p>
    <w:p w14:paraId="54AAD841" w14:textId="0176A26B" w:rsidR="006D00C9" w:rsidRPr="007A2144" w:rsidRDefault="006D00C9" w:rsidP="007A21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Машинное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обучение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замены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профессионального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суждения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инструмент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фокусировки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внимания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аномалиях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302A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рискованных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операциях.</w:t>
      </w:r>
    </w:p>
    <w:p w14:paraId="7C56FE70" w14:textId="03D9BC39" w:rsidR="006D00C9" w:rsidRDefault="00897617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образом,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финансово-экономическим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обеспечивается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комплексным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применением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криптографии,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блокчейна</w:t>
      </w:r>
      <w:proofErr w:type="spellEnd"/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доступом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облачных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решений,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адаптированных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строгим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регуляторным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практическим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требованиям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сферы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4AB6BD4B" w14:textId="3F4199CB" w:rsidR="00897617" w:rsidRDefault="00710939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можно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сделать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вывод,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сама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</w:t>
      </w:r>
      <w:r w:rsid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ункция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ухгалтер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хранителя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упраздняется.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сохраняется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своей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архетипической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роли,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теперь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масштабах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экономики.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вовсе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функция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возвращение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истокам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мире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арсеналом.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строят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делают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достоверность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по-прежнему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обеспечивает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теперь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97617" w:rsidRPr="008976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доверия.</w:t>
      </w:r>
    </w:p>
    <w:p w14:paraId="78652D6E" w14:textId="77777777" w:rsidR="00BA5C4C" w:rsidRDefault="00BA5C4C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1ED2FFEC" w14:textId="52B5E00E" w:rsidR="00897617" w:rsidRPr="00BA5C4C" w:rsidRDefault="00BA5C4C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0F11D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синтетик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аналитик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цифровых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данных</w:t>
      </w:r>
    </w:p>
    <w:p w14:paraId="5A9C3AAA" w14:textId="1082C422" w:rsidR="00897617" w:rsidRDefault="006C7681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Приведем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еще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один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аргумент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ставящий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сомнение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тенденци</w:t>
      </w:r>
      <w:r w:rsidR="00E406F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превращени</w:t>
      </w:r>
      <w:r w:rsidR="00710939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аналитика.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6CDA0DDA" w14:textId="29D71D6F" w:rsidR="00897617" w:rsidRDefault="009A23E4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ситуации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информационного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обилия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разнообразия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чаще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выступает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ассоциируется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анализ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процессом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декомпозици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наоборот,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«синтетик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информационный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интегратор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интерпретатор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смыслов,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вытекающих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числе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больших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 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предполагает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непременное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владение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только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аналитическим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инструментарием,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и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инструментарием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синтеза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(группировки,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агрегирования)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выявлени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смыслов,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полезности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(т.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прагматики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семантики)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[</w:t>
      </w:r>
      <w:r w:rsid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4</w:t>
      </w:r>
      <w:r w:rsidR="00FB5A5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B5A5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5</w:t>
      </w:r>
      <w:r w:rsidR="00BA669C" w:rsidRP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]</w:t>
      </w:r>
      <w:r w:rsidRPr="009A23E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6C88" w:rsidRP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 связи с этим можно утверждать, что насколько он становится аналитиком, настолько же (и, вероятно, даже в большей мере) он становится «синтетиком»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две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диалектически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взаимосвязанные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стороны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55AF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синтетический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сохранятся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6C768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1BEF39F9" w14:textId="3A8A1A89" w:rsidR="00DF5696" w:rsidRDefault="006C7681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аким образом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упраздняет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необходимость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обратн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именно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функцию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выполняет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управления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предъявляет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более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высокие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требования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обобщения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больших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объемов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FD0D6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транзакций</w:t>
      </w:r>
      <w:r w:rsidR="00DF5696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4219FD92" w14:textId="3D61ACCD" w:rsidR="00DF5696" w:rsidRDefault="00FD0D64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Очевидно,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соответствии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умеренно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консервативным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сценарием,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две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сохранятся,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сохранятся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E406F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E406F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E406F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аналитика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775F42FE" w14:textId="008E6925" w:rsidR="00DF5696" w:rsidRDefault="00DF5696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архитектор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контролёр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качества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релевантности.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 </w:t>
      </w:r>
    </w:p>
    <w:p w14:paraId="73A9B878" w14:textId="7052F005" w:rsidR="00DF5696" w:rsidRDefault="00DF5696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lastRenderedPageBreak/>
        <w:t>Аналитик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интерпретатор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стратег,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превращающий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решения.</w:t>
      </w:r>
    </w:p>
    <w:p w14:paraId="3DC2D632" w14:textId="288A2940" w:rsidR="00B168E7" w:rsidRPr="00B168E7" w:rsidRDefault="00B168E7" w:rsidP="00B168E7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</w:t>
      </w:r>
      <w:r w:rsidR="00E406F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обеспечивает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понятность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прослеживаемость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между:</w:t>
      </w:r>
    </w:p>
    <w:p w14:paraId="769FFFBF" w14:textId="194F0309" w:rsidR="00B168E7" w:rsidRPr="00B168E7" w:rsidRDefault="00B168E7" w:rsidP="00B16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ействием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</w:p>
    <w:p w14:paraId="73233C71" w14:textId="7E467547" w:rsidR="00B168E7" w:rsidRPr="00B168E7" w:rsidRDefault="00B168E7" w:rsidP="00B16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следом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29D2B735" w14:textId="27814270" w:rsidR="00B168E7" w:rsidRPr="00B168E7" w:rsidRDefault="00B168E7" w:rsidP="00B16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последствием.</w:t>
      </w:r>
    </w:p>
    <w:p w14:paraId="26CF4E21" w14:textId="22F1733F" w:rsidR="000A79BF" w:rsidRDefault="00B168E7" w:rsidP="00B168E7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гарантирует,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каждая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значимая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проводка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имеет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понятный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прообраз,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является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168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артефактом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автоматической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37CBF"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37CBF"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алгоритмами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37CBF"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интегрированных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систем.</w:t>
      </w:r>
    </w:p>
    <w:p w14:paraId="17CC5268" w14:textId="10C9A152" w:rsidR="00C22481" w:rsidRDefault="00737CBF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когда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генерируются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автоматически,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могут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выявлять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убедительные,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бессмысленные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корреляции,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критическим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гуманитарным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противовесом.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защита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того,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чтобы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отчётность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превратилась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симулякр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убедительную,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вн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ешне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согласованную,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оторванную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модель.</w:t>
      </w:r>
    </w:p>
    <w:p w14:paraId="14F53C32" w14:textId="69B28BEC" w:rsidR="00737CBF" w:rsidRDefault="00737CBF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образом,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бухгалтер-гарант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говорит: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«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измен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ен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ы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можно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доверять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задача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технолога).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говорит: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есть,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адекватно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осмысленно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описывают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нашу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хозяйственную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жизнь.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можете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доверять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байтам,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картине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мира,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формируют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высшая,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стратегическая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37CB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экономике.</w:t>
      </w:r>
    </w:p>
    <w:p w14:paraId="377F43E8" w14:textId="35484CAD" w:rsidR="00737CBF" w:rsidRDefault="00377662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вышеприведенных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рассуждениях,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когда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говор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доверия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име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виду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единого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супервизора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5C4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все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же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самый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коллектив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бухгалтерии,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кто-то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занимается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расчетами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контрагентами,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кто-то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6C88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складскими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запасами,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кто-то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6C88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основными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средствами.</w:t>
      </w:r>
    </w:p>
    <w:p w14:paraId="46E5955E" w14:textId="77777777" w:rsidR="00377662" w:rsidRDefault="00377662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4714B2F4" w14:textId="22B8D5EA" w:rsidR="00377662" w:rsidRPr="00BA5C4C" w:rsidRDefault="00BA5C4C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Революционный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сценарий.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Кем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станет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A5C4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бухгалтер?</w:t>
      </w:r>
    </w:p>
    <w:p w14:paraId="71FDD036" w14:textId="404D770F" w:rsidR="00900E0A" w:rsidRDefault="00900E0A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всегда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критиковали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отставание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показывает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прошлое</w:t>
      </w:r>
      <w:r w:rsidR="00DC6C88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причем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большим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опозданием.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Современные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открывают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вполне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</w:t>
      </w:r>
      <w:r w:rsidRP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ерехода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учёта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режиму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371F3CDB" w14:textId="0D2F1AF0" w:rsidR="00377662" w:rsidRDefault="00377662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рассмотрим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еще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один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750E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(футурологический)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сценарий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трансформации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бухгалтерского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бухгалтера.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4DFF46E5" w14:textId="76DD4C6B" w:rsidR="00002917" w:rsidRDefault="00DE14C7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Можем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представить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E406F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себе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когда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регламентированная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отчетность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станет,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например,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ежеквартальной,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ежесекундной?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0DB96007" w14:textId="22C99A23" w:rsidR="00737CBF" w:rsidRDefault="00DE14C7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принять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рассмотреть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контексте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сегодняшней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высокочаст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торговли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</w:t>
      </w:r>
      <w:r w:rsidR="007C6BA5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HFT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картина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радикально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меняется.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Появляется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овый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регуляторный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режим: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«Потоковая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отчётность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публичная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инфраструктура»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регламентная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публичная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отчётность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ежесекундной,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«инсайдерская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информация»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её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классическом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исчезает.</w:t>
      </w:r>
    </w:p>
    <w:p w14:paraId="2940B73D" w14:textId="780312D9" w:rsidR="00002917" w:rsidRDefault="00DE14C7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примерно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может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работа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ть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можем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видеть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уже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сегодня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Согласно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377662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(будущим)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регуляторным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требованиям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убличная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омпания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обязана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поддерживать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публичный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API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(или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узел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распределённом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реестре),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публикует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ключевые,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верифицированные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агрегаты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(выручка-секунда,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затраты-секунда,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свободный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cash</w:t>
      </w:r>
      <w:proofErr w:type="spellEnd"/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flow</w:t>
      </w:r>
      <w:proofErr w:type="spellEnd"/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-секунда).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3DA21E59" w14:textId="45D08153" w:rsidR="00737CBF" w:rsidRDefault="00DE14C7" w:rsidP="00C22481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же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публичной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инфраструктурой,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биржевой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стакан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заявок.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Регулятор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устанавливает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отчетности,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стандарты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потоковых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метрик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требования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надёжности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генерации.</w:t>
      </w:r>
      <w:r w:rsidR="001B3DFE"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рынка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нформационная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асимметрия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между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инсайдерами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рынком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сокращается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минимума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(задержка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распространение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сигнала).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HFT-алгоритмы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начинают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соревноваться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подписки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интерпретации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официального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публичного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потока.</w:t>
      </w:r>
    </w:p>
    <w:p w14:paraId="40DB5928" w14:textId="0C7DF943" w:rsidR="00DE14C7" w:rsidRPr="00DE14C7" w:rsidRDefault="00B86077" w:rsidP="00DE14C7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Следовательно,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озник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ов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содержание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фундаментального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анализа: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«Микро-</w:t>
      </w:r>
      <w:proofErr w:type="spellStart"/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фундаменталк</w:t>
      </w:r>
      <w:r w:rsidR="000029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proofErr w:type="spellEnd"/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«производные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стоимости»</w:t>
      </w:r>
      <w:r w:rsidR="007C6BA5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меняется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сама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гранулярность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фундаментального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анализа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="00900E0A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естыковка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0E0A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исчезает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39F83709" w14:textId="697C6A9F" w:rsidR="00DE14C7" w:rsidRPr="00DE14C7" w:rsidRDefault="00DE14C7" w:rsidP="00DE14C7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lastRenderedPageBreak/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работает: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ундаментальный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показатель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перестаёт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квартальным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интегралом.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мгновенной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производной</w:t>
      </w:r>
      <w:r w:rsidR="000029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например</w:t>
      </w:r>
      <w:r w:rsid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:</w:t>
      </w:r>
    </w:p>
    <w:p w14:paraId="11A8662C" w14:textId="5CB61572" w:rsidR="00DC1E2F" w:rsidRPr="00DC1E2F" w:rsidRDefault="00DC1E2F" w:rsidP="00DC1E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«Выручка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квартал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=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1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млрд»,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«Текущая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скорость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выручки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=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4,63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млн/час,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ускорение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=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+0,5%/час»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;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598BAB5C" w14:textId="3AB398BD" w:rsidR="00DE14C7" w:rsidRPr="00DC1E2F" w:rsidRDefault="00DC1E2F" w:rsidP="00DC1E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«Рентабельность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EBITDA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=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15%»,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«Текущая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мгновенная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маржа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последней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1000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транзакций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=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14.8%,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волатильность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маржи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=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C1E2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0.2%».</w:t>
      </w:r>
    </w:p>
    <w:p w14:paraId="03068A72" w14:textId="6818515D" w:rsidR="00DE14C7" w:rsidRDefault="007A75D8" w:rsidP="00DE14C7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бирже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HFT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</w:t>
      </w:r>
      <w:r w:rsid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</w:t>
      </w:r>
      <w:bookmarkStart w:id="0" w:name="_GoBack"/>
      <w:bookmarkEnd w:id="0"/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торговать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«долгосрочной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стоимости»,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микро-отклонениях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текущей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операционной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эффективности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ожидаемого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тренда.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торговля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второй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производн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фундаментальных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DE14C7" w:rsidRPr="00DE14C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показателей.</w:t>
      </w:r>
    </w:p>
    <w:p w14:paraId="41A194FA" w14:textId="34E3AED2" w:rsidR="0090359F" w:rsidRPr="0090359F" w:rsidRDefault="0090359F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сценарии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смещается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фиксации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фактов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времени.</w:t>
      </w:r>
    </w:p>
    <w:p w14:paraId="56B470F8" w14:textId="65134374" w:rsidR="0090359F" w:rsidRPr="0090359F" w:rsidRDefault="0090359F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становится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стратегическим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оператором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компании.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больше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летописец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диспетчер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роектирует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нервную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бизнеса,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посредством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бизнес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формирует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самочувствие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4186AD15" w14:textId="7CDCB736" w:rsidR="0090359F" w:rsidRPr="0090359F" w:rsidRDefault="0090359F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описанном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мире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бухгалтер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перестает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быть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бухгалтером»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смысле,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сегодня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Эта профессия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дробится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несколько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высокоспециализированных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ролей,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объединенных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общей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миссией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достоверность,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осмысленность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полезность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информации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0359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этим,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403CE7ED" w14:textId="70F46081" w:rsidR="0090359F" w:rsidRPr="007A2144" w:rsidRDefault="0090359F" w:rsidP="007A214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архитектор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создаёт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поддерживает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каналы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proofErr w:type="gramEnd"/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агрегации.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этом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качестве,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технический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достоверности.</w:t>
      </w:r>
    </w:p>
    <w:p w14:paraId="7B9A4064" w14:textId="7BCCEEB2" w:rsidR="0090359F" w:rsidRPr="007A2144" w:rsidRDefault="0090359F" w:rsidP="007A214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Финансовый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реального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времени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нтерпретатор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ониторит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производные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показатели,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выявляет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аномалии,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строит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причинно-следственные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связи,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генерирует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контекст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рынка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менеджмента.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67A53F9A" w14:textId="6F51BE15" w:rsidR="0090359F" w:rsidRPr="007A2144" w:rsidRDefault="00002917" w:rsidP="007A214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пециалист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учетной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политике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стандартам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переводит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принципы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</w:t>
      </w:r>
      <w:r w:rsidR="00B350C2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350C2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350C2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сейчас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350C2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воплощают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350C2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ФСБУ,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МСФО</w:t>
      </w:r>
      <w:r w:rsidR="00B350C2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)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машинно-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исполняемые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правила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логику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0359F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смарт-контрактов.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71B7C93E" w14:textId="57166678" w:rsidR="0035105C" w:rsidRPr="007A2144" w:rsidRDefault="0090359F" w:rsidP="007A214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Аудитор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процессов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02917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роверяет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отчеты,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корректность,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безопасность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неизменность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алгоритмов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генерации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потоковых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метрик.</w:t>
      </w:r>
    </w:p>
    <w:p w14:paraId="1CADBDBA" w14:textId="50544E7A" w:rsidR="00002917" w:rsidRDefault="00002917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4D538A37" w14:textId="4BCF2D49" w:rsidR="00002917" w:rsidRPr="00002917" w:rsidRDefault="00002917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002917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Выводы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002917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002917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дня</w:t>
      </w:r>
      <w:r w:rsidR="001B3DFE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002917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сегодняшнего</w:t>
      </w:r>
    </w:p>
    <w:p w14:paraId="2EFCB3B3" w14:textId="77777777" w:rsidR="00002917" w:rsidRDefault="00002917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6FF4D9B6" w14:textId="70633DF4" w:rsidR="00002917" w:rsidRDefault="00912EEF" w:rsidP="0090359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Если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принять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лючевой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тезис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«синтетике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аналитике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являющ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наш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взгляд,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реподавателям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университетов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необходимо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формировать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будущих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абстрактн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«аналитик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данных»,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как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архитектор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достоверности.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требует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пересмотра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компетенций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акцентом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фундаментальных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слоя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0F11DC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BA669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смыслово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управленческ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ом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</w:p>
    <w:p w14:paraId="699B1EA7" w14:textId="5A65FD87" w:rsidR="00912EEF" w:rsidRPr="00912EEF" w:rsidRDefault="00912EEF" w:rsidP="00912EE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предполагает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глубленное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сущности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операций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(онтология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бизнеса)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Важно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знать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проводки,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понимать,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реальный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хозяйственный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процесс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стоит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каждой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транзакцией.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операция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создания,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перемещения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изменения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ценности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отражается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диалога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проверки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выводов.</w:t>
      </w:r>
    </w:p>
    <w:p w14:paraId="7EF3C993" w14:textId="6E29E39C" w:rsidR="00912EEF" w:rsidRPr="00912EEF" w:rsidRDefault="00912EEF" w:rsidP="00912EE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Принципы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философия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стандартов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(МСФО,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РСБУ)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смыслов</w:t>
      </w:r>
      <w:proofErr w:type="gramStart"/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Изучать</w:t>
      </w:r>
      <w:proofErr w:type="gramEnd"/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только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правила,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логику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цели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стандартов.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Зачем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нужно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соответствие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доходов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расходов?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принципа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осмотрительности?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позволит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будущему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специалисту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слепо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применять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стандарты,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проектировать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правила,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воплощают.</w:t>
      </w:r>
    </w:p>
    <w:p w14:paraId="7BCB0803" w14:textId="13EC16E0" w:rsidR="00912EEF" w:rsidRDefault="00912EEF" w:rsidP="00912EE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lastRenderedPageBreak/>
        <w:t>Критическое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мышление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профессиональный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скептицизм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среде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 у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задавать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вопросы: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самом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деле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означает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корреляция,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найденная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алгоритмом?»,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потеряли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экономическую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сущность,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агрегируя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образом?»,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«Является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красивая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дашборд</w:t>
      </w:r>
      <w:proofErr w:type="spellEnd"/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-метрика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симулякром?».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главный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гуманитарный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противовес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«цифровому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формализму».</w:t>
      </w:r>
    </w:p>
    <w:p w14:paraId="5BD1CC49" w14:textId="36B1D435" w:rsidR="00912EEF" w:rsidRPr="00912EEF" w:rsidRDefault="00912EEF" w:rsidP="00912EEF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слой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обеспечивается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знанием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ов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технологического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инструментария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912EEF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процессов.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Среди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которых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важное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должны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занять:</w:t>
      </w:r>
    </w:p>
    <w:p w14:paraId="1A970070" w14:textId="5F26D6BC" w:rsidR="00912EEF" w:rsidRPr="00845C3C" w:rsidRDefault="00845C3C" w:rsidP="00845C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грамотность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области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Data</w:t>
      </w:r>
      <w:proofErr w:type="spellEnd"/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Literacy</w:t>
      </w:r>
      <w:proofErr w:type="spellEnd"/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)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архитектуры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того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рождаются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IoT</w:t>
      </w:r>
      <w:proofErr w:type="spellEnd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CRM,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ERP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передаются,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хранятся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преобразуются.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ETL/ELT-процессы,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API,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облачные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хранилища.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Бухгалтер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должен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уметь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ставить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задачи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data</w:t>
      </w:r>
      <w:proofErr w:type="spellEnd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-инженерам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верифицировать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решения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;</w:t>
      </w:r>
    </w:p>
    <w:p w14:paraId="2DF87C17" w14:textId="15B46093" w:rsidR="00912EEF" w:rsidRPr="00845C3C" w:rsidRDefault="00845C3C" w:rsidP="00845C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азовое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сквозных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технологий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ринципы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работы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блокчейна</w:t>
      </w:r>
      <w:proofErr w:type="spellEnd"/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(для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неизменяемого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следа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смарт-контрактов),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машинного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обучения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того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модели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выявляют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аномалии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или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делают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прогнозы,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 осознания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ограничени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й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),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основы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кибербезопасности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(риски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искажения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входе)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;</w:t>
      </w:r>
    </w:p>
    <w:p w14:paraId="2C249A2C" w14:textId="2452065E" w:rsidR="00912EEF" w:rsidRDefault="00B86077" w:rsidP="00845C3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умение </w:t>
      </w:r>
      <w:r w:rsidR="00845C3C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абота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системами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бизнес-аналитики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(BI)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автоматизации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(RPA)</w:t>
      </w:r>
      <w:r w:rsidR="00845C3C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45C3C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845C3C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пассивный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пользователь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отчетов,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заказчик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дизайнер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дашбордов</w:t>
      </w:r>
      <w:proofErr w:type="spellEnd"/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автоматизированных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сценариев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проверки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данных.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Умение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визуализировать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смыслы,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просто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912EEF"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данные.</w:t>
      </w:r>
    </w:p>
    <w:p w14:paraId="657BA549" w14:textId="03B7EC32" w:rsidR="00845C3C" w:rsidRPr="00845C3C" w:rsidRDefault="00845C3C" w:rsidP="00845C3C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Управленческий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коммуникативный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слой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определяющий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оль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интегратора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845C3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гаранта</w:t>
      </w:r>
      <w:r w:rsidR="000F11DC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:</w:t>
      </w:r>
    </w:p>
    <w:p w14:paraId="649C09A2" w14:textId="2F2E665F" w:rsidR="000F11DC" w:rsidRPr="007A2144" w:rsidRDefault="00845C3C" w:rsidP="007A21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Управление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цифровыми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проектами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процессами: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пособность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участвовать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внедрении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(ERP,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блокчейн</w:t>
      </w:r>
      <w:proofErr w:type="spellEnd"/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-платформ),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формулируя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требования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учетной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логике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контролю.</w:t>
      </w:r>
    </w:p>
    <w:p w14:paraId="51C268C9" w14:textId="221A1DC2" w:rsidR="007E0A51" w:rsidRPr="007A2144" w:rsidRDefault="00845C3C" w:rsidP="007A21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Коммуникация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интерпретация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разных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аудиторий.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Ключевой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навык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«синтетика»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объяснять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сложные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взаимосвязи.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5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минут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донести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менеджмента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смысл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отклонения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«мгновенной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марже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</w:t>
      </w:r>
      <w:r w:rsidR="001B3DFE"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подготовить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верифицированное,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юридически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безупречное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пояснение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для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публичного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API,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чтобы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инвесторы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могли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правильно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интерпретирова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ть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изменения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потоке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данных.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</w:p>
    <w:p w14:paraId="7FA12881" w14:textId="43E6711E" w:rsidR="00845C3C" w:rsidRPr="007A2144" w:rsidRDefault="00845C3C" w:rsidP="007A21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Этика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профессиональная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ответственность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цифровую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эпоху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предполагают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понимание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новых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рисков,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таких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как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алгоритмическая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предвзятость,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ответственность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работу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автономных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систем,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манипуляция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данными,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параметрами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их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генерации.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Формирование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внутреннего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кодекса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«цифрового</w:t>
      </w:r>
      <w:r w:rsidR="001B3DFE"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7A2144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гаранта».</w:t>
      </w:r>
    </w:p>
    <w:p w14:paraId="41EB6DA9" w14:textId="429E2BE8" w:rsidR="00845C3C" w:rsidRDefault="00845C3C" w:rsidP="00845C3C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49072FA2" w14:textId="2D6A13EC" w:rsidR="00BA669C" w:rsidRPr="00BA669C" w:rsidRDefault="00BA669C" w:rsidP="00845C3C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BA669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Содержательное наполнение образовательных программ</w:t>
      </w:r>
    </w:p>
    <w:p w14:paraId="06BF656F" w14:textId="353B64FE" w:rsidR="001B3DFE" w:rsidRPr="001B3DFE" w:rsidRDefault="00BA669C" w:rsidP="001B3DFE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Исходя из сказанного, о</w:t>
      </w:r>
      <w:r w:rsidR="001B3DFE"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бязательные дисциплины</w:t>
      </w:r>
      <w:r w:rsid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 которые уже сейчас должны включаться в образовательные программы, видятся такими:</w:t>
      </w:r>
    </w:p>
    <w:p w14:paraId="77A31748" w14:textId="784E3BD3" w:rsidR="001B3DFE" w:rsidRPr="001B3DFE" w:rsidRDefault="001B3DFE" w:rsidP="001B3D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«Основы архитектуры данных и информационных систем для бухгалтера».</w:t>
      </w:r>
    </w:p>
    <w:p w14:paraId="46C11BB1" w14:textId="7E989360" w:rsidR="001B3DFE" w:rsidRPr="001B3DFE" w:rsidRDefault="001B3DFE" w:rsidP="001B3D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«Цифровые технологии в финансах: от RPA до </w:t>
      </w:r>
      <w:proofErr w:type="spellStart"/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блокчейна</w:t>
      </w:r>
      <w:proofErr w:type="spellEnd"/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» (обзорный, но концептуальный курс).</w:t>
      </w:r>
    </w:p>
    <w:p w14:paraId="79503CEC" w14:textId="1FEF9C0D" w:rsidR="001B3DFE" w:rsidRPr="001B3DFE" w:rsidRDefault="001B3DFE" w:rsidP="001B3D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«Визуализация и коммуникация финансовых данных».</w:t>
      </w:r>
    </w:p>
    <w:p w14:paraId="163E31F5" w14:textId="7FDDCA5A" w:rsidR="001B3DFE" w:rsidRPr="001B3DFE" w:rsidRDefault="001B3DFE" w:rsidP="001B3DF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«Профессиональный скептицизм и этика в условиях автоматизации».</w:t>
      </w:r>
    </w:p>
    <w:p w14:paraId="07F671D5" w14:textId="62232328" w:rsidR="00845C3C" w:rsidRDefault="001B3DFE" w:rsidP="00B86077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Практикумы и проектная работа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должны строиться таким образом, чтобы с</w:t>
      </w: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туденты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могли</w:t>
      </w: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работать не с условными «хозяйственными операциями», а с сырыми цифровыми следами из реальных или симулированных систем (</w:t>
      </w:r>
      <w:proofErr w:type="spellStart"/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логи</w:t>
      </w:r>
      <w:proofErr w:type="spellEnd"/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транзакций, потоки из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MES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CRM). Их задача — спроектировать процесс их агрегации в учетные метрики, описать риски искажения смысла и подготовить аналитическую записку для </w:t>
      </w: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lastRenderedPageBreak/>
        <w:t>руководства.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Необходимо в</w:t>
      </w: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недрять в обучение междисциплинарные кейсы, где нужно связать воедино данные операционного учета, юридические условия договоров (смарт-контракты) и финансовый результат. Акцент </w:t>
      </w:r>
      <w:r w:rsidR="00B86077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при этом стоит делать </w:t>
      </w:r>
      <w:r w:rsidRPr="001B3DFE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на группировку, агрегацию и выявление системных взаимосвязей, а не только на анализ деталей.</w:t>
      </w:r>
    </w:p>
    <w:p w14:paraId="720940F1" w14:textId="680D61DF" w:rsidR="001B3DFE" w:rsidRDefault="001B3DFE" w:rsidP="001B3DFE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p w14:paraId="64709FD2" w14:textId="03509EA9" w:rsidR="001B3DFE" w:rsidRPr="00BA669C" w:rsidRDefault="001B3DFE" w:rsidP="001B3DFE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</w:pPr>
      <w:r w:rsidRPr="00BA669C">
        <w:rPr>
          <w:rFonts w:ascii="TimesNewRoman" w:eastAsia="Times New Roman" w:hAnsi="TimesNewRoman" w:cs="Times New Roman"/>
          <w:b/>
          <w:bCs/>
          <w:spacing w:val="6"/>
          <w:sz w:val="24"/>
          <w:szCs w:val="24"/>
          <w:shd w:val="clear" w:color="auto" w:fill="FFFFFF"/>
          <w:lang w:eastAsia="ru-RU"/>
        </w:rPr>
        <w:t>Литература</w:t>
      </w:r>
    </w:p>
    <w:p w14:paraId="329AFC6D" w14:textId="4E46B4A2" w:rsidR="00B9477B" w:rsidRPr="00B9477B" w:rsidRDefault="001B3DFE" w:rsidP="00B947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proofErr w:type="spellStart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Коське</w:t>
      </w:r>
      <w:proofErr w:type="spellEnd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М.С., </w:t>
      </w:r>
      <w:proofErr w:type="spellStart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Воюцкая</w:t>
      </w:r>
      <w:proofErr w:type="spellEnd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И.В., </w:t>
      </w:r>
      <w:proofErr w:type="spellStart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Мишучкова</w:t>
      </w:r>
      <w:proofErr w:type="spellEnd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Ю.Г.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Т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рансформация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бухгалтерской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: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обзор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современных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тенденций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и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перспектив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// Интеллект. Инновации. Инвестиции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,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2022.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№ 5.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С. 37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– </w:t>
      </w:r>
      <w:r w:rsidR="00B9477B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46.</w:t>
      </w:r>
    </w:p>
    <w:p w14:paraId="250D0AA4" w14:textId="1BCEE306" w:rsidR="00B9477B" w:rsidRDefault="00B9477B" w:rsidP="00B947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Зверькова Т.Н.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Ц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ифровое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будущее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: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как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технологии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меняют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профессию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//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Профессиональное образование и рынок труда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2025.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Т. 13.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№ 1 (60).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С. 95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–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108.</w:t>
      </w:r>
    </w:p>
    <w:p w14:paraId="6481502F" w14:textId="162CD2AE" w:rsidR="00B9477B" w:rsidRPr="001B3DFE" w:rsidRDefault="00B9477B" w:rsidP="00B947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Морозова Н.Г., </w:t>
      </w:r>
      <w:proofErr w:type="spellStart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Корзоватых</w:t>
      </w:r>
      <w:proofErr w:type="spellEnd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Ж.М.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Т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раектории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трансформации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профессии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в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условиях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цифровизации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//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E-</w:t>
      </w:r>
      <w:proofErr w:type="spellStart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Management</w:t>
      </w:r>
      <w:proofErr w:type="spellEnd"/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,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2022.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Т. 5.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№ 1.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С. 93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–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100.</w:t>
      </w:r>
    </w:p>
    <w:p w14:paraId="52541C1C" w14:textId="38BAAE43" w:rsidR="00B9477B" w:rsidRPr="00B9477B" w:rsidRDefault="00B9477B" w:rsidP="00B947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Барабаш Д.А., Чистов Д.В. </w:t>
      </w:r>
      <w:r w:rsidR="00BA669C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Э</w:t>
      </w:r>
      <w:r w:rsidR="00BA669C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косистема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1С </w:t>
      </w:r>
      <w:r w:rsidR="00BA669C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как</w:t>
      </w:r>
      <w:r w:rsidR="00BA669C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учебная</w:t>
      </w:r>
      <w:r w:rsidR="00BA669C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дисциплина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//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Новые информационные технологии в образовании. Сборник научных трудов XXV Международной научно-практической конференции.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Москва, 2025.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С. 21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–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26.</w:t>
      </w:r>
    </w:p>
    <w:p w14:paraId="3B07C98D" w14:textId="339427F9" w:rsidR="00B9477B" w:rsidRPr="00B9477B" w:rsidRDefault="00B9477B" w:rsidP="00B947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Чистов Д.В., </w:t>
      </w:r>
      <w:proofErr w:type="spellStart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Порохина</w:t>
      </w:r>
      <w:proofErr w:type="spellEnd"/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И.Ю., Андреев И.А. П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одготовка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и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использование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BA669C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CASE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-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средств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для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формирования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профессиональных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компетенций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современного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 w:hint="eastAsia"/>
          <w:spacing w:val="6"/>
          <w:sz w:val="24"/>
          <w:szCs w:val="24"/>
          <w:shd w:val="clear" w:color="auto" w:fill="FFFFFF"/>
          <w:lang w:eastAsia="ru-RU"/>
        </w:rPr>
        <w:t>бухгалтера</w:t>
      </w:r>
      <w:r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//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Новые информационные технологии в образовании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. </w:t>
      </w:r>
      <w:r w:rsidR="007E0A51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Сборник научных трудов X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val="en-US" w:eastAsia="ru-RU"/>
        </w:rPr>
        <w:t>III</w:t>
      </w:r>
      <w:r w:rsidR="007E0A51"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Международной научно-практической конференции.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Москва,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2013. </w:t>
      </w:r>
      <w:r w:rsidR="007E0A51" w:rsidRPr="00DF5696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—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С. 201</w:t>
      </w:r>
      <w:r w:rsidR="007E0A51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 xml:space="preserve"> – </w:t>
      </w:r>
      <w:r w:rsidRPr="00B9477B"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  <w:t>205.</w:t>
      </w:r>
    </w:p>
    <w:p w14:paraId="60B3FBEB" w14:textId="77777777" w:rsidR="00B9477B" w:rsidRPr="00845C3C" w:rsidRDefault="00B9477B">
      <w:pPr>
        <w:spacing w:after="0" w:line="240" w:lineRule="auto"/>
        <w:ind w:firstLine="539"/>
        <w:jc w:val="both"/>
        <w:rPr>
          <w:rFonts w:ascii="TimesNewRoman" w:eastAsia="Times New Roman" w:hAnsi="TimesNewRoman" w:cs="Times New Roman"/>
          <w:spacing w:val="6"/>
          <w:sz w:val="24"/>
          <w:szCs w:val="24"/>
          <w:shd w:val="clear" w:color="auto" w:fill="FFFFFF"/>
          <w:lang w:eastAsia="ru-RU"/>
        </w:rPr>
      </w:pPr>
    </w:p>
    <w:sectPr w:rsidR="00B9477B" w:rsidRPr="0084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68A"/>
    <w:multiLevelType w:val="multilevel"/>
    <w:tmpl w:val="ED3A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47B4B"/>
    <w:multiLevelType w:val="hybridMultilevel"/>
    <w:tmpl w:val="0B8C7366"/>
    <w:lvl w:ilvl="0" w:tplc="43D22782">
      <w:numFmt w:val="bullet"/>
      <w:lvlText w:val=""/>
      <w:lvlJc w:val="left"/>
      <w:pPr>
        <w:ind w:left="116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127D6EF6"/>
    <w:multiLevelType w:val="hybridMultilevel"/>
    <w:tmpl w:val="3612BF20"/>
    <w:lvl w:ilvl="0" w:tplc="8AB0E268">
      <w:start w:val="1"/>
      <w:numFmt w:val="decimal"/>
      <w:lvlText w:val="%1."/>
      <w:lvlJc w:val="left"/>
      <w:pPr>
        <w:ind w:left="99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4CF5257"/>
    <w:multiLevelType w:val="hybridMultilevel"/>
    <w:tmpl w:val="6FF80440"/>
    <w:lvl w:ilvl="0" w:tplc="C53E812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71E583F"/>
    <w:multiLevelType w:val="hybridMultilevel"/>
    <w:tmpl w:val="758CF37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9D91B1E"/>
    <w:multiLevelType w:val="hybridMultilevel"/>
    <w:tmpl w:val="7DA82494"/>
    <w:lvl w:ilvl="0" w:tplc="9762195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1EC6770"/>
    <w:multiLevelType w:val="hybridMultilevel"/>
    <w:tmpl w:val="10BC715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35720E62"/>
    <w:multiLevelType w:val="hybridMultilevel"/>
    <w:tmpl w:val="E4F07F5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48411CE1"/>
    <w:multiLevelType w:val="hybridMultilevel"/>
    <w:tmpl w:val="3A82E9E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4B0F3F25"/>
    <w:multiLevelType w:val="hybridMultilevel"/>
    <w:tmpl w:val="5EDCB314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0" w15:restartNumberingAfterBreak="0">
    <w:nsid w:val="4CB45F35"/>
    <w:multiLevelType w:val="hybridMultilevel"/>
    <w:tmpl w:val="9D38052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C24176E"/>
    <w:multiLevelType w:val="hybridMultilevel"/>
    <w:tmpl w:val="2E76BA0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5FD418D9"/>
    <w:multiLevelType w:val="hybridMultilevel"/>
    <w:tmpl w:val="C50CF3C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FD"/>
    <w:rsid w:val="00002917"/>
    <w:rsid w:val="000A79BF"/>
    <w:rsid w:val="000F11DC"/>
    <w:rsid w:val="00110F76"/>
    <w:rsid w:val="001A1943"/>
    <w:rsid w:val="001B3DFE"/>
    <w:rsid w:val="00264B15"/>
    <w:rsid w:val="0035105C"/>
    <w:rsid w:val="00377662"/>
    <w:rsid w:val="00596901"/>
    <w:rsid w:val="005E193A"/>
    <w:rsid w:val="00650F1D"/>
    <w:rsid w:val="006C7681"/>
    <w:rsid w:val="006D00C9"/>
    <w:rsid w:val="00710939"/>
    <w:rsid w:val="0072782B"/>
    <w:rsid w:val="00737CBF"/>
    <w:rsid w:val="007A2144"/>
    <w:rsid w:val="007A75D8"/>
    <w:rsid w:val="007C6BA5"/>
    <w:rsid w:val="007E0A51"/>
    <w:rsid w:val="00845C3C"/>
    <w:rsid w:val="00897617"/>
    <w:rsid w:val="008C271F"/>
    <w:rsid w:val="00900E0A"/>
    <w:rsid w:val="0090359F"/>
    <w:rsid w:val="00912EEF"/>
    <w:rsid w:val="009A23E4"/>
    <w:rsid w:val="009C3337"/>
    <w:rsid w:val="009E4C4E"/>
    <w:rsid w:val="00A94B5A"/>
    <w:rsid w:val="00AF31FD"/>
    <w:rsid w:val="00B168E7"/>
    <w:rsid w:val="00B350C2"/>
    <w:rsid w:val="00B86077"/>
    <w:rsid w:val="00B9477B"/>
    <w:rsid w:val="00BA5C4C"/>
    <w:rsid w:val="00BA669C"/>
    <w:rsid w:val="00C22481"/>
    <w:rsid w:val="00D55AFC"/>
    <w:rsid w:val="00D750E7"/>
    <w:rsid w:val="00DC1E2F"/>
    <w:rsid w:val="00DC6C88"/>
    <w:rsid w:val="00DE14C7"/>
    <w:rsid w:val="00DF5696"/>
    <w:rsid w:val="00E313FA"/>
    <w:rsid w:val="00E406F4"/>
    <w:rsid w:val="00E766A4"/>
    <w:rsid w:val="00F302AE"/>
    <w:rsid w:val="00F65484"/>
    <w:rsid w:val="00FB5A57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D17"/>
  <w15:chartTrackingRefBased/>
  <w15:docId w15:val="{B3177EAF-D9CF-4946-B0E5-3CD80D7C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481"/>
  </w:style>
  <w:style w:type="paragraph" w:styleId="2">
    <w:name w:val="heading 2"/>
    <w:aliases w:val="СтатьяПараграф"/>
    <w:basedOn w:val="a"/>
    <w:next w:val="a"/>
    <w:link w:val="20"/>
    <w:unhideWhenUsed/>
    <w:qFormat/>
    <w:rsid w:val="00C224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СтатьяПараграф Знак"/>
    <w:basedOn w:val="a0"/>
    <w:link w:val="2"/>
    <w:rsid w:val="00C224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B168E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A194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194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194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194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A194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1A194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A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1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Игнатченко Эльвира Валериевна</cp:lastModifiedBy>
  <cp:revision>15</cp:revision>
  <dcterms:created xsi:type="dcterms:W3CDTF">2026-01-25T18:16:00Z</dcterms:created>
  <dcterms:modified xsi:type="dcterms:W3CDTF">2026-01-30T06:29:00Z</dcterms:modified>
</cp:coreProperties>
</file>